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jc w:val="center"/>
      </w:pPr>
      <w:r>
        <w:rPr>
          <w:b/>
          <w:bCs/>
        </w:rPr>
        <w:t xml:space="preserve">SWWWC Broadband Capability Statement</w:t>
      </w:r>
    </w:p>
    <w:p>
      <w:pPr>
        <w:spacing w:after="360"/>
        <w:jc w:val="center"/>
      </w:pPr>
      <w:r>
        <w:rPr>
          <w:i/>
          <w:iCs/>
          <w:color w:val="4B5A6F"/>
        </w:rPr>
        <w:t xml:space="preserve">Southwest Wyoming Wireless Community — prepared for BEAD applicants, county broadband authorities, and RFP reviewers</w:t>
      </w:r>
    </w:p>
    <w:p>
      <w:pPr>
        <w:spacing w:after="80" w:before="120"/>
      </w:pPr>
      <w:r>
        <w:rPr>
          <w:b/>
          <w:bCs/>
          <w:color w:val="0ABF9C"/>
          <w:sz w:val="20"/>
          <w:szCs w:val="20"/>
        </w:rPr>
        <w:t xml:space="preserve">Company Overview</w:t>
      </w:r>
    </w:p>
    <w:p>
      <w:pPr>
        <w:pStyle w:val="Heading1"/>
        <w:spacing w:after="120" w:before="240"/>
      </w:pPr>
      <w:r>
        <w:rPr>
          <w:b/>
          <w:bCs/>
        </w:rPr>
        <w:t xml:space="preserve">Connecting the communities that connecting missed.</w:t>
      </w:r>
    </w:p>
    <w:p>
      <w:pPr>
        <w:spacing w:after="120"/>
      </w:pPr>
      <w:r>
        <w:t xml:space="preserve">SWWWC was founded with a straightforward conviction: the residents of southwest Wyoming deserve the same reliable broadband as anyone else. For too long, rural communities in this region were passed over by major ISPs — not because the technology does not exist, but because the population density did not pencil out for corporate buildout.</w:t>
      </w:r>
    </w:p>
    <w:p>
      <w:pPr>
        <w:spacing w:after="120"/>
      </w:pPr>
      <w:r>
        <w:t xml:space="preserve">AirConnectOS, the operating system behind Southwest Wyoming Wireless Community, changes that equation. By building our own infrastructure and running our own operations platform, we deliver speeds from 25 Mbps to 100 Mbps at prices that make sense for the communities we serve — not the shareholders we are trying to impress. Every dollar we collect stays in southwest Wyoming. Every technician we hire is local. Every upgrade we make is built for the people who live here, not the datacenter two states away.</w:t>
      </w:r>
    </w:p>
    <w:p>
      <w:pPr>
        <w:spacing w:after="80" w:before="120"/>
      </w:pPr>
      <w:r>
        <w:rPr>
          <w:b/>
          <w:bCs/>
          <w:color w:val="0ABF9C"/>
          <w:sz w:val="20"/>
          <w:szCs w:val="20"/>
        </w:rPr>
        <w:t xml:space="preserve">Service Areas</w:t>
      </w:r>
    </w:p>
    <w:p>
      <w:pPr>
        <w:pStyle w:val="Heading1"/>
        <w:spacing w:after="120" w:before="240"/>
      </w:pPr>
      <w:r>
        <w:rPr>
          <w:b/>
          <w:bCs/>
        </w:rPr>
        <w:t xml:space="preserve">Coverage footprint</w:t>
      </w:r>
    </w:p>
    <w:p>
      <w:pPr>
        <w:spacing w:after="120"/>
      </w:pPr>
      <w:r>
        <w:t xml:space="preserve">SWWWC operates across southwestern Wyoming, with an active footprint spanning Uinta County into portions of Sweetwater County. The network spans more than 6,400 square miles of service territory across 32+ tower sites and 7 communities.</w:t>
      </w:r>
    </w:p>
    <w:p>
      <w:pPr>
        <w:pStyle w:val="ListParagraph"/>
        <w:numPr>
          <w:ilvl w:val="0"/>
          <w:numId w:val="1"/>
        </w:numPr>
        <w:spacing w:after="80"/>
      </w:pPr>
      <w:r>
        <w:t xml:space="preserve">Evanston (HQ) — Active</w:t>
      </w:r>
    </w:p>
    <w:p>
      <w:pPr>
        <w:pStyle w:val="ListParagraph"/>
        <w:numPr>
          <w:ilvl w:val="0"/>
          <w:numId w:val="1"/>
        </w:numPr>
        <w:spacing w:after="80"/>
      </w:pPr>
      <w:r>
        <w:t xml:space="preserve">Rock Springs — Active</w:t>
      </w:r>
    </w:p>
    <w:p>
      <w:pPr>
        <w:pStyle w:val="ListParagraph"/>
        <w:numPr>
          <w:ilvl w:val="0"/>
          <w:numId w:val="1"/>
        </w:numPr>
        <w:spacing w:after="80"/>
      </w:pPr>
      <w:r>
        <w:t xml:space="preserve">Fort Bridger — Active</w:t>
      </w:r>
    </w:p>
    <w:p>
      <w:pPr>
        <w:pStyle w:val="ListParagraph"/>
        <w:numPr>
          <w:ilvl w:val="0"/>
          <w:numId w:val="1"/>
        </w:numPr>
        <w:spacing w:after="80"/>
      </w:pPr>
      <w:r>
        <w:t xml:space="preserve">Lyman — Active</w:t>
      </w:r>
    </w:p>
    <w:p>
      <w:pPr>
        <w:pStyle w:val="ListParagraph"/>
        <w:numPr>
          <w:ilvl w:val="0"/>
          <w:numId w:val="1"/>
        </w:numPr>
        <w:spacing w:after="80"/>
      </w:pPr>
      <w:r>
        <w:t xml:space="preserve">Mountain View — Active</w:t>
      </w:r>
    </w:p>
    <w:p>
      <w:pPr>
        <w:pStyle w:val="ListParagraph"/>
        <w:numPr>
          <w:ilvl w:val="0"/>
          <w:numId w:val="1"/>
        </w:numPr>
        <w:spacing w:after="80"/>
      </w:pPr>
      <w:r>
        <w:t xml:space="preserve">Bridger Valley — Active</w:t>
      </w:r>
    </w:p>
    <w:p>
      <w:pPr>
        <w:pStyle w:val="ListParagraph"/>
        <w:numPr>
          <w:ilvl w:val="0"/>
          <w:numId w:val="1"/>
        </w:numPr>
        <w:spacing w:after="80"/>
      </w:pPr>
      <w:r>
        <w:t xml:space="preserve">Lonetree — Active</w:t>
      </w:r>
    </w:p>
    <w:p>
      <w:pPr>
        <w:pStyle w:val="ListParagraph"/>
        <w:numPr>
          <w:ilvl w:val="0"/>
          <w:numId w:val="1"/>
        </w:numPr>
        <w:spacing w:after="80"/>
      </w:pPr>
      <w:r>
        <w:t xml:space="preserve">Pinedale — Expanding</w:t>
      </w:r>
    </w:p>
    <w:p>
      <w:pPr>
        <w:spacing w:after="80" w:before="120"/>
      </w:pPr>
      <w:r>
        <w:rPr>
          <w:b/>
          <w:bCs/>
          <w:color w:val="0ABF9C"/>
          <w:sz w:val="20"/>
          <w:szCs w:val="20"/>
        </w:rPr>
        <w:t xml:space="preserve">Technical Capabilities</w:t>
      </w:r>
    </w:p>
    <w:p>
      <w:pPr>
        <w:pStyle w:val="Heading1"/>
        <w:spacing w:after="120" w:before="240"/>
      </w:pPr>
      <w:r>
        <w:rPr>
          <w:b/>
          <w:bCs/>
        </w:rPr>
        <w:t xml:space="preserve">Fixed wireless with redundant fiber and microwave backhaul</w:t>
      </w:r>
    </w:p>
    <w:p>
      <w:pPr>
        <w:spacing w:after="120"/>
      </w:pPr>
      <w:r>
        <w:t xml:space="preserve">SWWWC delivers tiered residential and business broadband over a fixed wireless access network with redundant upstream providers. Service is available in three plans, all without data caps and on month-to-month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CCCCCC" w:sz="4"/>
              <w:left w:val="single" w:color="CCCCCC" w:sz="4"/>
              <w:bottom w:val="single" w:color="CCCCCC" w:sz="4"/>
              <w:right w:val="single" w:color="CCCCCC" w:sz="4"/>
            </w:tcBorders>
            <w:shd w:fill="F4F6F8"/>
          </w:tcPr>
          <w:p>
            <w:r>
              <w:rPr>
                <w:b/>
                <w:bCs/>
              </w:rPr>
              <w:t xml:space="preserve">Plan</w:t>
            </w:r>
          </w:p>
        </w:tc>
        <w:tc>
          <w:tcPr>
            <w:tcBorders>
              <w:top w:val="single" w:color="CCCCCC" w:sz="4"/>
              <w:left w:val="single" w:color="CCCCCC" w:sz="4"/>
              <w:bottom w:val="single" w:color="CCCCCC" w:sz="4"/>
              <w:right w:val="single" w:color="CCCCCC" w:sz="4"/>
            </w:tcBorders>
            <w:shd w:fill="F4F6F8"/>
          </w:tcPr>
          <w:p>
            <w:r>
              <w:rPr>
                <w:b/>
                <w:bCs/>
              </w:rPr>
              <w:t xml:space="preserve">Price</w:t>
            </w:r>
          </w:p>
        </w:tc>
        <w:tc>
          <w:tcPr>
            <w:tcBorders>
              <w:top w:val="single" w:color="CCCCCC" w:sz="4"/>
              <w:left w:val="single" w:color="CCCCCC" w:sz="4"/>
              <w:bottom w:val="single" w:color="CCCCCC" w:sz="4"/>
              <w:right w:val="single" w:color="CCCCCC" w:sz="4"/>
            </w:tcBorders>
            <w:shd w:fill="F4F6F8"/>
          </w:tcPr>
          <w:p>
            <w:r>
              <w:rPr>
                <w:b/>
                <w:bCs/>
              </w:rPr>
              <w:t xml:space="preserve">Download</w:t>
            </w:r>
          </w:p>
        </w:tc>
        <w:tc>
          <w:tcPr>
            <w:tcBorders>
              <w:top w:val="single" w:color="CCCCCC" w:sz="4"/>
              <w:left w:val="single" w:color="CCCCCC" w:sz="4"/>
              <w:bottom w:val="single" w:color="CCCCCC" w:sz="4"/>
              <w:right w:val="single" w:color="CCCCCC" w:sz="4"/>
            </w:tcBorders>
            <w:shd w:fill="F4F6F8"/>
          </w:tcPr>
          <w:p>
            <w:r>
              <w:rPr>
                <w:b/>
                <w:bCs/>
              </w:rPr>
              <w:t xml:space="preserve">Upload</w:t>
            </w:r>
          </w:p>
        </w:tc>
      </w:tr>
      <w:tr>
        <w:tc>
          <w:tcPr>
            <w:tcBorders>
              <w:top w:val="single" w:color="CCCCCC" w:sz="4"/>
              <w:left w:val="single" w:color="CCCCCC" w:sz="4"/>
              <w:bottom w:val="single" w:color="CCCCCC" w:sz="4"/>
              <w:right w:val="single" w:color="CCCCCC" w:sz="4"/>
            </w:tcBorders>
          </w:tcPr>
          <w:p>
            <w:r>
              <w:t xml:space="preserve">Standard</w:t>
            </w:r>
          </w:p>
        </w:tc>
        <w:tc>
          <w:tcPr>
            <w:tcBorders>
              <w:top w:val="single" w:color="CCCCCC" w:sz="4"/>
              <w:left w:val="single" w:color="CCCCCC" w:sz="4"/>
              <w:bottom w:val="single" w:color="CCCCCC" w:sz="4"/>
              <w:right w:val="single" w:color="CCCCCC" w:sz="4"/>
            </w:tcBorders>
          </w:tcPr>
          <w:p>
            <w:r>
              <w:t xml:space="preserve">$59/mo</w:t>
            </w:r>
          </w:p>
        </w:tc>
        <w:tc>
          <w:tcPr>
            <w:tcBorders>
              <w:top w:val="single" w:color="CCCCCC" w:sz="4"/>
              <w:left w:val="single" w:color="CCCCCC" w:sz="4"/>
              <w:bottom w:val="single" w:color="CCCCCC" w:sz="4"/>
              <w:right w:val="single" w:color="CCCCCC" w:sz="4"/>
            </w:tcBorders>
          </w:tcPr>
          <w:p>
            <w:r>
              <w:t xml:space="preserve">25 Mbps</w:t>
            </w:r>
          </w:p>
        </w:tc>
        <w:tc>
          <w:tcPr>
            <w:tcBorders>
              <w:top w:val="single" w:color="CCCCCC" w:sz="4"/>
              <w:left w:val="single" w:color="CCCCCC" w:sz="4"/>
              <w:bottom w:val="single" w:color="CCCCCC" w:sz="4"/>
              <w:right w:val="single" w:color="CCCCCC" w:sz="4"/>
            </w:tcBorders>
          </w:tcPr>
          <w:p>
            <w:r>
              <w:t xml:space="preserve">10 Mbps</w:t>
            </w:r>
          </w:p>
        </w:tc>
      </w:tr>
      <w:tr>
        <w:tc>
          <w:tcPr>
            <w:tcBorders>
              <w:top w:val="single" w:color="CCCCCC" w:sz="4"/>
              <w:left w:val="single" w:color="CCCCCC" w:sz="4"/>
              <w:bottom w:val="single" w:color="CCCCCC" w:sz="4"/>
              <w:right w:val="single" w:color="CCCCCC" w:sz="4"/>
            </w:tcBorders>
          </w:tcPr>
          <w:p>
            <w:r>
              <w:t xml:space="preserve">Pro</w:t>
            </w:r>
          </w:p>
        </w:tc>
        <w:tc>
          <w:tcPr>
            <w:tcBorders>
              <w:top w:val="single" w:color="CCCCCC" w:sz="4"/>
              <w:left w:val="single" w:color="CCCCCC" w:sz="4"/>
              <w:bottom w:val="single" w:color="CCCCCC" w:sz="4"/>
              <w:right w:val="single" w:color="CCCCCC" w:sz="4"/>
            </w:tcBorders>
          </w:tcPr>
          <w:p>
            <w:r>
              <w:t xml:space="preserve">$99/mo</w:t>
            </w:r>
          </w:p>
        </w:tc>
        <w:tc>
          <w:tcPr>
            <w:tcBorders>
              <w:top w:val="single" w:color="CCCCCC" w:sz="4"/>
              <w:left w:val="single" w:color="CCCCCC" w:sz="4"/>
              <w:bottom w:val="single" w:color="CCCCCC" w:sz="4"/>
              <w:right w:val="single" w:color="CCCCCC" w:sz="4"/>
            </w:tcBorders>
          </w:tcPr>
          <w:p>
            <w:r>
              <w:t xml:space="preserve">50 Mbps</w:t>
            </w:r>
          </w:p>
        </w:tc>
        <w:tc>
          <w:tcPr>
            <w:tcBorders>
              <w:top w:val="single" w:color="CCCCCC" w:sz="4"/>
              <w:left w:val="single" w:color="CCCCCC" w:sz="4"/>
              <w:bottom w:val="single" w:color="CCCCCC" w:sz="4"/>
              <w:right w:val="single" w:color="CCCCCC" w:sz="4"/>
            </w:tcBorders>
          </w:tcPr>
          <w:p>
            <w:r>
              <w:t xml:space="preserve">25 Mbps</w:t>
            </w:r>
          </w:p>
        </w:tc>
      </w:tr>
      <w:tr>
        <w:tc>
          <w:tcPr>
            <w:tcBorders>
              <w:top w:val="single" w:color="CCCCCC" w:sz="4"/>
              <w:left w:val="single" w:color="CCCCCC" w:sz="4"/>
              <w:bottom w:val="single" w:color="CCCCCC" w:sz="4"/>
              <w:right w:val="single" w:color="CCCCCC" w:sz="4"/>
            </w:tcBorders>
          </w:tcPr>
          <w:p>
            <w:r>
              <w:t xml:space="preserve">Business</w:t>
            </w:r>
          </w:p>
        </w:tc>
        <w:tc>
          <w:tcPr>
            <w:tcBorders>
              <w:top w:val="single" w:color="CCCCCC" w:sz="4"/>
              <w:left w:val="single" w:color="CCCCCC" w:sz="4"/>
              <w:bottom w:val="single" w:color="CCCCCC" w:sz="4"/>
              <w:right w:val="single" w:color="CCCCCC" w:sz="4"/>
            </w:tcBorders>
          </w:tcPr>
          <w:p>
            <w:r>
              <w:t xml:space="preserve">$179/mo</w:t>
            </w:r>
          </w:p>
        </w:tc>
        <w:tc>
          <w:tcPr>
            <w:tcBorders>
              <w:top w:val="single" w:color="CCCCCC" w:sz="4"/>
              <w:left w:val="single" w:color="CCCCCC" w:sz="4"/>
              <w:bottom w:val="single" w:color="CCCCCC" w:sz="4"/>
              <w:right w:val="single" w:color="CCCCCC" w:sz="4"/>
            </w:tcBorders>
          </w:tcPr>
          <w:p>
            <w:r>
              <w:t xml:space="preserve">100 Mbps</w:t>
            </w:r>
          </w:p>
        </w:tc>
        <w:tc>
          <w:tcPr>
            <w:tcBorders>
              <w:top w:val="single" w:color="CCCCCC" w:sz="4"/>
              <w:left w:val="single" w:color="CCCCCC" w:sz="4"/>
              <w:bottom w:val="single" w:color="CCCCCC" w:sz="4"/>
              <w:right w:val="single" w:color="CCCCCC" w:sz="4"/>
            </w:tcBorders>
          </w:tcPr>
          <w:p>
            <w:r>
              <w:t xml:space="preserve">50 Mbps</w:t>
            </w:r>
          </w:p>
        </w:tc>
      </w:tr>
    </w:tbl>
    <w:p>
      <w:pPr>
        <w:spacing w:after="120"/>
      </w:pPr>
      <w:r>
        <w:t xml:space="preserve">From a network architecture standpoint, all sites route through dual upstream providers for path redundancy — a mix of licensed microwave links and fiber drops where available. No single point of failure exists in the core topology. Speeds and capacities are documented in the table below.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Pr>
          <w:p>
            <w:r>
              <w:rPr>
                <w:b/>
                <w:bCs/>
              </w:rPr>
              <w:t xml:space="preserve">Download speeds</w:t>
            </w:r>
          </w:p>
        </w:tc>
        <w:tc>
          <w:tcPr>
            <w:tcW w:type="pct" w:w="60%"/>
          </w:tcPr>
          <w:p>
            <w:r>
              <w:t xml:space="preserve">5 – 100 Mbps</w:t>
            </w:r>
          </w:p>
        </w:tc>
      </w:tr>
      <w:tr>
        <w:tc>
          <w:tcPr>
            <w:tcW w:type="pct" w:w="40%"/>
          </w:tcPr>
          <w:p>
            <w:r>
              <w:rPr>
                <w:b/>
                <w:bCs/>
              </w:rPr>
              <w:t xml:space="preserve">Upload speeds</w:t>
            </w:r>
          </w:p>
        </w:tc>
        <w:tc>
          <w:tcPr>
            <w:tcW w:type="pct" w:w="60%"/>
          </w:tcPr>
          <w:p>
            <w:r>
              <w:t xml:space="preserve">2 – 20 Mbps</w:t>
            </w:r>
          </w:p>
        </w:tc>
      </w:tr>
      <w:tr>
        <w:tc>
          <w:tcPr>
            <w:tcW w:type="pct" w:w="40%"/>
          </w:tcPr>
          <w:p>
            <w:r>
              <w:rPr>
                <w:b/>
                <w:bCs/>
              </w:rPr>
              <w:t xml:space="preserve">Latency</w:t>
            </w:r>
          </w:p>
        </w:tc>
        <w:tc>
          <w:tcPr>
            <w:tcW w:type="pct" w:w="60%"/>
          </w:tcPr>
          <w:p>
            <w:r>
              <w:t xml:space="preserve">8 – 35 ms (typical)</w:t>
            </w:r>
          </w:p>
        </w:tc>
      </w:tr>
      <w:tr>
        <w:tc>
          <w:tcPr>
            <w:tcW w:type="pct" w:w="40%"/>
          </w:tcPr>
          <w:p>
            <w:r>
              <w:rPr>
                <w:b/>
                <w:bCs/>
              </w:rPr>
              <w:t xml:space="preserve">Tower-to-customer range</w:t>
            </w:r>
          </w:p>
        </w:tc>
        <w:tc>
          <w:tcPr>
            <w:tcW w:type="pct" w:w="60%"/>
          </w:tcPr>
          <w:p>
            <w:r>
              <w:t xml:space="preserve">Up to 10 miles (LOS)</w:t>
            </w:r>
          </w:p>
        </w:tc>
      </w:tr>
      <w:tr>
        <w:tc>
          <w:tcPr>
            <w:tcW w:type="pct" w:w="40%"/>
          </w:tcPr>
          <w:p>
            <w:r>
              <w:rPr>
                <w:b/>
                <w:bCs/>
              </w:rPr>
              <w:t xml:space="preserve">Sectors per tower</w:t>
            </w:r>
          </w:p>
        </w:tc>
        <w:tc>
          <w:tcPr>
            <w:tcW w:type="pct" w:w="60%"/>
          </w:tcPr>
          <w:p>
            <w:r>
              <w:t xml:space="preserve">4 – 8 (120° each)</w:t>
            </w:r>
          </w:p>
        </w:tc>
      </w:tr>
      <w:tr>
        <w:tc>
          <w:tcPr>
            <w:tcW w:type="pct" w:w="40%"/>
          </w:tcPr>
          <w:p>
            <w:r>
              <w:rPr>
                <w:b/>
                <w:bCs/>
              </w:rPr>
              <w:t xml:space="preserve">Network availability</w:t>
            </w:r>
          </w:p>
        </w:tc>
        <w:tc>
          <w:tcPr>
            <w:tcW w:type="pct" w:w="60%"/>
          </w:tcPr>
          <w:p>
            <w:r>
              <w:t xml:space="preserve">99.5% uptime SLA</w:t>
            </w:r>
          </w:p>
        </w:tc>
      </w:tr>
      <w:tr>
        <w:tc>
          <w:tcPr>
            <w:tcW w:type="pct" w:w="40%"/>
          </w:tcPr>
          <w:p>
            <w:r>
              <w:rPr>
                <w:b/>
                <w:bCs/>
              </w:rPr>
              <w:t xml:space="preserve">Data policy</w:t>
            </w:r>
          </w:p>
        </w:tc>
        <w:tc>
          <w:tcPr>
            <w:tcW w:type="pct" w:w="60%"/>
          </w:tcPr>
          <w:p>
            <w:r>
              <w:t xml:space="preserve">Unlimited — no caps</w:t>
            </w:r>
          </w:p>
        </w:tc>
      </w:tr>
      <w:tr>
        <w:tc>
          <w:tcPr>
            <w:tcW w:type="pct" w:w="40%"/>
          </w:tcPr>
          <w:p>
            <w:r>
              <w:rPr>
                <w:b/>
                <w:bCs/>
              </w:rPr>
              <w:t xml:space="preserve">NOC</w:t>
            </w:r>
          </w:p>
        </w:tc>
        <w:tc>
          <w:tcPr>
            <w:tcW w:type="pct" w:w="60%"/>
          </w:tcPr>
          <w:p>
            <w:r>
              <w:t xml:space="preserve">24/7 in-house</w:t>
            </w:r>
          </w:p>
        </w:tc>
      </w:tr>
    </w:tbl>
    <w:p>
      <w:pPr>
        <w:spacing w:after="80" w:before="120"/>
      </w:pPr>
      <w:r>
        <w:rPr>
          <w:b/>
          <w:bCs/>
          <w:color w:val="0ABF9C"/>
          <w:sz w:val="20"/>
          <w:szCs w:val="20"/>
        </w:rPr>
        <w:t xml:space="preserve">Equipment Specifications</w:t>
      </w:r>
    </w:p>
    <w:p>
      <w:pPr>
        <w:pStyle w:val="Heading1"/>
        <w:spacing w:after="120" w:before="240"/>
      </w:pPr>
      <w:r>
        <w:rPr>
          <w:b/>
          <w:bCs/>
        </w:rPr>
        <w:t xml:space="preserve">Commercial-grade, not consumer hobby equipment</w:t>
      </w:r>
    </w:p>
    <w:p>
      <w:pPr>
        <w:spacing w:after="120"/>
      </w:pPr>
      <w:r>
        <w:t xml:space="preserve">The SWWWC network is built on field-proven commercial wireless platforms, not consumer-grade hardware. Equipment vendors are under contract; tower sites are secured with long-term leases; spectrum is a mix of unlicensed 5 GHz and licensed CBRS where interference requires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Pr>
          <w:p>
            <w:r>
              <w:rPr>
                <w:b/>
                <w:bCs/>
              </w:rPr>
              <w:t xml:space="preserve">Primary backhaul</w:t>
            </w:r>
          </w:p>
        </w:tc>
        <w:tc>
          <w:tcPr>
            <w:tcW w:type="pct" w:w="60%"/>
          </w:tcPr>
          <w:p>
            <w:r>
              <w:t xml:space="preserve">Microwave (licensed)</w:t>
            </w:r>
          </w:p>
        </w:tc>
      </w:tr>
      <w:tr>
        <w:tc>
          <w:tcPr>
            <w:tcW w:type="pct" w:w="40%"/>
          </w:tcPr>
          <w:p>
            <w:r>
              <w:rPr>
                <w:b/>
                <w:bCs/>
              </w:rPr>
              <w:t xml:space="preserve">Secondary backhaul</w:t>
            </w:r>
          </w:p>
        </w:tc>
        <w:tc>
          <w:tcPr>
            <w:tcW w:type="pct" w:w="60%"/>
          </w:tcPr>
          <w:p>
            <w:r>
              <w:t xml:space="preserve">Fiber + microwave failover</w:t>
            </w:r>
          </w:p>
        </w:tc>
      </w:tr>
      <w:tr>
        <w:tc>
          <w:tcPr>
            <w:tcW w:type="pct" w:w="40%"/>
          </w:tcPr>
          <w:p>
            <w:r>
              <w:rPr>
                <w:b/>
                <w:bCs/>
              </w:rPr>
              <w:t xml:space="preserve">PTMP platform</w:t>
            </w:r>
          </w:p>
        </w:tc>
        <w:tc>
          <w:tcPr>
            <w:tcW w:type="pct" w:w="60%"/>
          </w:tcPr>
          <w:p>
            <w:r>
              <w:t xml:space="preserve">Cambium cnPilot</w:t>
            </w:r>
          </w:p>
        </w:tc>
      </w:tr>
      <w:tr>
        <w:tc>
          <w:tcPr>
            <w:tcW w:type="pct" w:w="40%"/>
          </w:tcPr>
          <w:p>
            <w:r>
              <w:rPr>
                <w:b/>
                <w:bCs/>
              </w:rPr>
              <w:t xml:space="preserve">PtP links</w:t>
            </w:r>
          </w:p>
        </w:tc>
        <w:tc>
          <w:tcPr>
            <w:tcW w:type="pct" w:w="60%"/>
          </w:tcPr>
          <w:p>
            <w:r>
              <w:t xml:space="preserve">Ubiquiti airFiber</w:t>
            </w:r>
          </w:p>
        </w:tc>
      </w:tr>
      <w:tr>
        <w:tc>
          <w:tcPr>
            <w:tcW w:type="pct" w:w="40%"/>
          </w:tcPr>
          <w:p>
            <w:r>
              <w:rPr>
                <w:b/>
                <w:bCs/>
              </w:rPr>
              <w:t xml:space="preserve">High-density sectors</w:t>
            </w:r>
          </w:p>
        </w:tc>
        <w:tc>
          <w:tcPr>
            <w:tcW w:type="pct" w:w="60%"/>
          </w:tcPr>
          <w:p>
            <w:r>
              <w:t xml:space="preserve">Mimosa B5x</w:t>
            </w:r>
          </w:p>
        </w:tc>
      </w:tr>
      <w:tr>
        <w:tc>
          <w:tcPr>
            <w:tcW w:type="pct" w:w="40%"/>
          </w:tcPr>
          <w:p>
            <w:r>
              <w:rPr>
                <w:b/>
                <w:bCs/>
              </w:rPr>
              <w:t xml:space="preserve">CPE devices</w:t>
            </w:r>
          </w:p>
        </w:tc>
        <w:tc>
          <w:tcPr>
            <w:tcW w:type="pct" w:w="60%"/>
          </w:tcPr>
          <w:p>
            <w:r>
              <w:t xml:space="preserve">Cambium ePMP 3000 / Mimosa C5x</w:t>
            </w:r>
          </w:p>
        </w:tc>
      </w:tr>
      <w:tr>
        <w:tc>
          <w:tcPr>
            <w:tcW w:type="pct" w:w="40%"/>
          </w:tcPr>
          <w:p>
            <w:r>
              <w:rPr>
                <w:b/>
                <w:bCs/>
              </w:rPr>
              <w:t xml:space="preserve">Unlicensed spectrum</w:t>
            </w:r>
          </w:p>
        </w:tc>
        <w:tc>
          <w:tcPr>
            <w:tcW w:type="pct" w:w="60%"/>
          </w:tcPr>
          <w:p>
            <w:r>
              <w:t xml:space="preserve">5 GHz UNII-1/2/3</w:t>
            </w:r>
          </w:p>
        </w:tc>
      </w:tr>
      <w:tr>
        <w:tc>
          <w:tcPr>
            <w:tcW w:type="pct" w:w="40%"/>
          </w:tcPr>
          <w:p>
            <w:r>
              <w:rPr>
                <w:b/>
                <w:bCs/>
              </w:rPr>
              <w:t xml:space="preserve">Licensed spectrum</w:t>
            </w:r>
          </w:p>
        </w:tc>
        <w:tc>
          <w:tcPr>
            <w:tcW w:type="pct" w:w="60%"/>
          </w:tcPr>
          <w:p>
            <w:r>
              <w:t xml:space="preserve">CBRS 3.5 GHz (46xx)</w:t>
            </w:r>
          </w:p>
        </w:tc>
      </w:tr>
    </w:tbl>
    <w:p>
      <w:pPr>
        <w:spacing w:after="80" w:before="120"/>
      </w:pPr>
      <w:r>
        <w:rPr>
          <w:b/>
          <w:bCs/>
          <w:color w:val="0ABF9C"/>
          <w:sz w:val="20"/>
          <w:szCs w:val="20"/>
        </w:rPr>
        <w:t xml:space="preserve">Past Performance</w:t>
      </w:r>
    </w:p>
    <w:p>
      <w:pPr>
        <w:pStyle w:val="Heading1"/>
        <w:spacing w:after="120" w:before="240"/>
      </w:pPr>
      <w:r>
        <w:rPr>
          <w:b/>
          <w:bCs/>
        </w:rPr>
        <w:t xml:space="preserve">Two decades of building, not just talking about building</w:t>
      </w:r>
    </w:p>
    <w:p>
      <w:pPr>
        <w:spacing w:after="120"/>
      </w:pPr>
      <w:r>
        <w:t xml:space="preserve">21 years operating since founding in 2004. The SWWWC service history shows the operational track record that BEAD reviewers and county broadband authorities should expect from an established rural provider.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22%"/>
            <w:tcBorders>
              <w:top w:val="single" w:color="CCCCCC" w:sz="4"/>
              <w:left w:val="single" w:color="CCCCCC" w:sz="4"/>
              <w:bottom w:val="single" w:color="CCCCCC" w:sz="4"/>
              <w:right w:val="single" w:color="CCCCCC" w:sz="4"/>
            </w:tcBorders>
          </w:tcPr>
          <w:p>
            <w:r>
              <w:rPr>
                <w:b/>
                <w:bCs/>
              </w:rPr>
              <w:t xml:space="preserve">2004</w:t>
            </w:r>
          </w:p>
        </w:tc>
        <w:tc>
          <w:tcPr>
            <w:tcW w:type="pct" w:w="78%"/>
            <w:tcBorders>
              <w:top w:val="single" w:color="CCCCCC" w:sz="4"/>
              <w:left w:val="single" w:color="CCCCCC" w:sz="4"/>
              <w:bottom w:val="single" w:color="CCCCCC" w:sz="4"/>
              <w:right w:val="single" w:color="CCCCCC" w:sz="4"/>
            </w:tcBorders>
          </w:tcPr>
          <w:p>
            <w:r>
              <w:t xml:space="preserve">Founded — SWWWC incorporated. First tower goes live in Evanston, bridging the connectivity gap for rural Uinta County residents.</w:t>
            </w:r>
          </w:p>
        </w:tc>
      </w:tr>
      <w:tr>
        <w:tc>
          <w:tcPr>
            <w:tcW w:type="pct" w:w="22%"/>
            <w:tcBorders>
              <w:top w:val="single" w:color="CCCCCC" w:sz="4"/>
              <w:left w:val="single" w:color="CCCCCC" w:sz="4"/>
              <w:bottom w:val="single" w:color="CCCCCC" w:sz="4"/>
              <w:right w:val="single" w:color="CCCCCC" w:sz="4"/>
            </w:tcBorders>
          </w:tcPr>
          <w:p>
            <w:r>
              <w:rPr>
                <w:b/>
                <w:bCs/>
              </w:rPr>
              <w:t xml:space="preserve">2008–2011</w:t>
            </w:r>
          </w:p>
        </w:tc>
        <w:tc>
          <w:tcPr>
            <w:tcW w:type="pct" w:w="78%"/>
            <w:tcBorders>
              <w:top w:val="single" w:color="CCCCCC" w:sz="4"/>
              <w:left w:val="single" w:color="CCCCCC" w:sz="4"/>
              <w:bottom w:val="single" w:color="CCCCCC" w:sz="4"/>
              <w:right w:val="single" w:color="CCCCCC" w:sz="4"/>
            </w:tcBorders>
          </w:tcPr>
          <w:p>
            <w:r>
              <w:t xml:space="preserve">Early expansion — Coverage extends to Fort Bridger, Lyman, and Mountain View. First fiber backhaul drop acquired. Customer base grows to hundreds.</w:t>
            </w:r>
          </w:p>
        </w:tc>
      </w:tr>
      <w:tr>
        <w:tc>
          <w:tcPr>
            <w:tcW w:type="pct" w:w="22%"/>
            <w:tcBorders>
              <w:top w:val="single" w:color="CCCCCC" w:sz="4"/>
              <w:left w:val="single" w:color="CCCCCC" w:sz="4"/>
              <w:bottom w:val="single" w:color="CCCCCC" w:sz="4"/>
              <w:right w:val="single" w:color="CCCCCC" w:sz="4"/>
            </w:tcBorders>
          </w:tcPr>
          <w:p>
            <w:r>
              <w:rPr>
                <w:b/>
                <w:bCs/>
              </w:rPr>
              <w:t xml:space="preserve">2015–2018</w:t>
            </w:r>
          </w:p>
        </w:tc>
        <w:tc>
          <w:tcPr>
            <w:tcW w:type="pct" w:w="78%"/>
            <w:tcBorders>
              <w:top w:val="single" w:color="CCCCCC" w:sz="4"/>
              <w:left w:val="single" w:color="CCCCCC" w:sz="4"/>
              <w:bottom w:val="single" w:color="CCCCCC" w:sz="4"/>
              <w:right w:val="single" w:color="CCCCCC" w:sz="4"/>
            </w:tcBorders>
          </w:tcPr>
          <w:p>
            <w:r>
              <w:t xml:space="preserve">Network hardening — Upgraded to Cambium cnPilot platform. Dual upstream providers installed. All critical sites get UPS/generator backup.</w:t>
            </w:r>
          </w:p>
        </w:tc>
      </w:tr>
      <w:tr>
        <w:tc>
          <w:tcPr>
            <w:tcW w:type="pct" w:w="22%"/>
            <w:tcBorders>
              <w:top w:val="single" w:color="CCCCCC" w:sz="4"/>
              <w:left w:val="single" w:color="CCCCCC" w:sz="4"/>
              <w:bottom w:val="single" w:color="CCCCCC" w:sz="4"/>
              <w:right w:val="single" w:color="CCCCCC" w:sz="4"/>
            </w:tcBorders>
          </w:tcPr>
          <w:p>
            <w:r>
              <w:rPr>
                <w:b/>
                <w:bCs/>
              </w:rPr>
              <w:t xml:space="preserve">2020–present</w:t>
            </w:r>
          </w:p>
        </w:tc>
        <w:tc>
          <w:tcPr>
            <w:tcW w:type="pct" w:w="78%"/>
            <w:tcBorders>
              <w:top w:val="single" w:color="CCCCCC" w:sz="4"/>
              <w:left w:val="single" w:color="CCCCCC" w:sz="4"/>
              <w:bottom w:val="single" w:color="CCCCCC" w:sz="4"/>
              <w:right w:val="single" w:color="CCCCCC" w:sz="4"/>
            </w:tcBorders>
          </w:tcPr>
          <w:p>
            <w:r>
              <w:t xml:space="preserve">Growth + BEAD prep — Expanded into Bridger Valley. CBRS licensed spectrum acquired for high-interference zones. Infrastructure aligned for BEAD program requirements.</w:t>
            </w:r>
          </w:p>
        </w:tc>
      </w:tr>
    </w:tbl>
    <w:p>
      <w:pPr>
        <w:spacing w:after="80" w:before="120"/>
      </w:pPr>
      <w:r>
        <w:rPr>
          <w:b/>
          <w:bCs/>
          <w:color w:val="0ABF9C"/>
          <w:sz w:val="20"/>
          <w:szCs w:val="20"/>
        </w:rPr>
        <w:t xml:space="preserve">BEAD Grant Eligibility</w:t>
      </w:r>
    </w:p>
    <w:p>
      <w:pPr>
        <w:pStyle w:val="Heading1"/>
        <w:spacing w:after="120" w:before="240"/>
      </w:pPr>
      <w:r>
        <w:rPr>
          <w:b/>
          <w:bCs/>
        </w:rPr>
        <w:t xml:space="preserve">Building toward BEAD — with a 21-year head start</w:t>
      </w:r>
    </w:p>
    <w:p>
      <w:pPr>
        <w:spacing w:after="120"/>
      </w:pPr>
      <w:r>
        <w:t xml:space="preserve">The Wyoming BEAD allocation is significant. SWWWC's existing footprint means BEAD dollars go farther — less capital expenditure required to reach unserved addresses, faster deployment timelines, lower per-location cost for the state.</w:t>
      </w:r>
    </w:p>
    <w:p>
      <w:pPr>
        <w:pStyle w:val="ListParagraph"/>
        <w:numPr>
          <w:ilvl w:val="0"/>
          <w:numId w:val="1"/>
        </w:numPr>
        <w:spacing w:after="80"/>
      </w:pPr>
      <w:r>
        <w:t xml:space="preserve">Existing coverage — BEAD can count our existing service area as covered. No need to fund what is already live. Focus shifts to extending the perimeter to unserved addresses efficiently.</w:t>
      </w:r>
    </w:p>
    <w:p>
      <w:pPr>
        <w:pStyle w:val="ListParagraph"/>
        <w:numPr>
          <w:ilvl w:val="0"/>
          <w:numId w:val="1"/>
        </w:numPr>
        <w:spacing w:after="80"/>
      </w:pPr>
      <w:r>
        <w:t xml:space="preserve">Operational readiness — Local crews already in the territory. Equipment vendors under contract. Tower sites secured with long-term leases. No ramp-up time needed.</w:t>
      </w:r>
    </w:p>
    <w:p>
      <w:pPr>
        <w:pStyle w:val="ListParagraph"/>
        <w:numPr>
          <w:ilvl w:val="0"/>
          <w:numId w:val="1"/>
        </w:numPr>
        <w:spacing w:after="80"/>
      </w:pPr>
      <w:r>
        <w:t xml:space="preserve">Challenging terrain — We operate in some of Wyoming's toughest terrain: high elevation, mountainous ridgelines, extreme weather. BEAD infrastructure in SW Wyoming benefits from our expertise here.</w:t>
      </w:r>
    </w:p>
    <w:p>
      <w:pPr>
        <w:spacing w:after="80" w:before="120"/>
      </w:pPr>
      <w:r>
        <w:rPr>
          <w:b/>
          <w:bCs/>
          <w:color w:val="0ABF9C"/>
          <w:sz w:val="20"/>
          <w:szCs w:val="20"/>
        </w:rPr>
        <w:t xml:space="preserve">Contact</w:t>
      </w:r>
    </w:p>
    <w:p>
      <w:pPr>
        <w:pStyle w:val="Heading1"/>
        <w:spacing w:after="120" w:before="240"/>
      </w:pPr>
      <w:r>
        <w:rPr>
          <w:b/>
          <w:bCs/>
        </w:rPr>
        <w:t xml:space="preserve">Get in touch</w:t>
      </w:r>
    </w:p>
    <w:p>
      <w:pPr>
        <w:spacing w:after="120"/>
      </w:pPr>
      <w:r>
        <w:t xml:space="preserve">County commissioners and state broadband office reviewers should reach out directly. We are happy to walk you through the footprint, provide additional technical details, or schedule a site visit to an active tower.</w:t>
      </w:r>
    </w:p>
    <w:p>
      <w:pPr>
        <w:spacing w:after="120"/>
      </w:pPr>
      <w:r>
        <w:rPr>
          <w:b/>
          <w:bCs/>
        </w:rPr>
        <w:t xml:space="preserve">Email: </w:t>
      </w:r>
      <w:r>
        <w:t xml:space="preserve">swwc@polsia.app</w:t>
      </w:r>
    </w:p>
    <w:p>
      <w:pPr>
        <w:spacing w:after="120"/>
      </w:pPr>
      <w:r>
        <w:rPr>
          <w:b/>
          <w:bCs/>
        </w:rPr>
        <w:t xml:space="preserve">Grant &amp; RFP packet: </w:t>
      </w:r>
      <w:r>
        <w:t xml:space="preserve">/docs/capability-statement.pdf and /docs/capability-statement.docx (this document)</w:t>
      </w:r>
    </w:p>
    <w:p>
      <w:pPr>
        <w:spacing w:after="120"/>
      </w:pPr>
      <w:r>
        <w:rPr>
          <w:b/>
          <w:bCs/>
        </w:rPr>
        <w:t xml:space="preserve">Service area: </w:t>
      </w:r>
      <w:r>
        <w:t xml:space="preserve">Southwestern Wyoming — Uinta, Sweetwater, Lincoln, Sublette, and Fremont counties.</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SWWWC Broadband Capability Statement</dc:title>
  <dc:creator>SWWWC</dc:creator>
  <dc:description>Capability statement for BEAD grant applicants and county broadband authorities.</dc:description>
  <cp:lastModifiedBy>Un-named</cp:lastModifiedBy>
  <cp:revision>1</cp:revision>
  <dcterms:created xsi:type="dcterms:W3CDTF">2026-08-10T00:29:04.632Z</dcterms:created>
  <dcterms:modified xsi:type="dcterms:W3CDTF">2026-08-10T00:29:04.632Z</dcterms:modified>
</cp:coreProperties>
</file>

<file path=docProps/custom.xml><?xml version="1.0" encoding="utf-8"?>
<Properties xmlns="http://schemas.openxmlformats.org/officeDocument/2006/custom-properties" xmlns:vt="http://schemas.openxmlformats.org/officeDocument/2006/docPropsVTypes"/>
</file>